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2CC7" w14:textId="77777777" w:rsidR="00892B1C" w:rsidRDefault="00892B1C" w:rsidP="00892B1C"/>
    <w:p w14:paraId="65B9218F" w14:textId="77777777" w:rsidR="00892B1C" w:rsidRDefault="00892B1C" w:rsidP="00892B1C">
      <w:pPr>
        <w:shd w:val="clear" w:color="auto" w:fill="B4C6E7" w:themeFill="accent1" w:themeFillTint="66"/>
        <w:jc w:val="center"/>
        <w:rPr>
          <w:b/>
          <w:color w:val="4472C4" w:themeColor="accent1"/>
          <w:sz w:val="28"/>
          <w:szCs w:val="28"/>
        </w:rPr>
      </w:pPr>
    </w:p>
    <w:p w14:paraId="0781ADFB" w14:textId="6975C2A5" w:rsidR="00892B1C" w:rsidRPr="00892B1C" w:rsidRDefault="00892B1C" w:rsidP="00892B1C">
      <w:pPr>
        <w:shd w:val="clear" w:color="auto" w:fill="B4C6E7" w:themeFill="accent1" w:themeFillTint="66"/>
        <w:jc w:val="center"/>
        <w:rPr>
          <w:b/>
          <w:color w:val="4472C4" w:themeColor="accent1"/>
          <w:sz w:val="28"/>
          <w:szCs w:val="28"/>
        </w:rPr>
      </w:pPr>
      <w:r w:rsidRPr="00892B1C">
        <w:rPr>
          <w:b/>
          <w:color w:val="4472C4" w:themeColor="accent1"/>
          <w:sz w:val="28"/>
          <w:szCs w:val="28"/>
        </w:rPr>
        <w:t>Attachment-based Practice with Children, Adults and Families</w:t>
      </w:r>
    </w:p>
    <w:p w14:paraId="14FC27F0" w14:textId="3F319676" w:rsidR="00892B1C" w:rsidRDefault="00892B1C" w:rsidP="00892B1C">
      <w:pPr>
        <w:shd w:val="clear" w:color="auto" w:fill="B4C6E7" w:themeFill="accent1" w:themeFillTint="66"/>
        <w:jc w:val="center"/>
        <w:rPr>
          <w:b/>
          <w:color w:val="4472C4" w:themeColor="accent1"/>
          <w:sz w:val="28"/>
          <w:szCs w:val="28"/>
        </w:rPr>
      </w:pPr>
      <w:r w:rsidRPr="00892B1C">
        <w:rPr>
          <w:b/>
          <w:color w:val="4472C4" w:themeColor="accent1"/>
          <w:sz w:val="28"/>
          <w:szCs w:val="28"/>
        </w:rPr>
        <w:t>Understanding Strategies and promoting positive change</w:t>
      </w:r>
    </w:p>
    <w:p w14:paraId="6C66098D" w14:textId="77777777" w:rsidR="00892B1C" w:rsidRPr="00892B1C" w:rsidRDefault="00892B1C" w:rsidP="00892B1C">
      <w:pPr>
        <w:shd w:val="clear" w:color="auto" w:fill="B4C6E7" w:themeFill="accent1" w:themeFillTint="66"/>
        <w:jc w:val="center"/>
        <w:rPr>
          <w:b/>
          <w:color w:val="4472C4" w:themeColor="accent1"/>
          <w:sz w:val="28"/>
          <w:szCs w:val="28"/>
        </w:rPr>
      </w:pPr>
    </w:p>
    <w:p w14:paraId="3B518E41" w14:textId="5797E9E5" w:rsidR="00892B1C" w:rsidRDefault="00892B1C"/>
    <w:p w14:paraId="79F4DD70" w14:textId="018B37F7" w:rsidR="00892B1C" w:rsidRPr="00892B1C" w:rsidRDefault="00892B1C">
      <w:pPr>
        <w:rPr>
          <w:b/>
          <w:color w:val="4472C4" w:themeColor="accent1"/>
        </w:rPr>
      </w:pPr>
      <w:r w:rsidRPr="00892B1C">
        <w:rPr>
          <w:b/>
          <w:color w:val="4472C4" w:themeColor="accent1"/>
        </w:rPr>
        <w:t>Programme</w:t>
      </w:r>
    </w:p>
    <w:p w14:paraId="54EEAE89" w14:textId="63AA9343" w:rsidR="00892B1C" w:rsidRDefault="00892B1C">
      <w:pPr>
        <w:rPr>
          <w:color w:val="4472C4" w:themeColor="accent1"/>
        </w:rPr>
      </w:pPr>
    </w:p>
    <w:p w14:paraId="3E8AAF59" w14:textId="77777777" w:rsidR="00892B1C" w:rsidRDefault="00892B1C" w:rsidP="00892B1C">
      <w:pPr>
        <w:shd w:val="clear" w:color="auto" w:fill="ACB9CA" w:themeFill="text2" w:themeFillTint="66"/>
        <w:rPr>
          <w:color w:val="4472C4" w:themeColor="accent1"/>
        </w:rPr>
      </w:pPr>
    </w:p>
    <w:p w14:paraId="21E06050" w14:textId="68B68EA1" w:rsidR="00892B1C" w:rsidRPr="00892B1C" w:rsidRDefault="00892B1C" w:rsidP="00892B1C">
      <w:pPr>
        <w:shd w:val="clear" w:color="auto" w:fill="ACB9CA" w:themeFill="text2" w:themeFillTint="66"/>
        <w:rPr>
          <w:b/>
          <w:color w:val="4472C4" w:themeColor="accent1"/>
        </w:rPr>
      </w:pPr>
      <w:r w:rsidRPr="00892B1C">
        <w:rPr>
          <w:b/>
          <w:color w:val="4472C4" w:themeColor="accent1"/>
        </w:rPr>
        <w:t>Part One: Introduction to attachment-based practice – 4 days</w:t>
      </w:r>
    </w:p>
    <w:p w14:paraId="6B8BAE9C" w14:textId="6D0B7C91" w:rsidR="00892B1C" w:rsidRDefault="00892B1C" w:rsidP="00892B1C">
      <w:pPr>
        <w:shd w:val="clear" w:color="auto" w:fill="ACB9CA" w:themeFill="text2" w:themeFillTint="66"/>
        <w:rPr>
          <w:color w:val="4472C4" w:themeColor="accent1"/>
        </w:rPr>
      </w:pPr>
    </w:p>
    <w:p w14:paraId="6CB6A6A8" w14:textId="315D4716" w:rsidR="00892B1C" w:rsidRDefault="00892B1C" w:rsidP="00892B1C">
      <w:pPr>
        <w:shd w:val="clear" w:color="auto" w:fill="FFFFFF" w:themeFill="background1"/>
        <w:rPr>
          <w:sz w:val="20"/>
          <w:szCs w:val="20"/>
        </w:rPr>
      </w:pPr>
      <w:r w:rsidRPr="00892B1C">
        <w:rPr>
          <w:sz w:val="20"/>
          <w:szCs w:val="20"/>
        </w:rPr>
        <w:t>Four days</w:t>
      </w:r>
      <w:r>
        <w:rPr>
          <w:sz w:val="20"/>
          <w:szCs w:val="20"/>
        </w:rPr>
        <w:t xml:space="preserve"> (three days plus one follow-up day six weeks later to look at results of practical implementation).  This part of the course is based on chapters 1-8 of the course text, ‘Attachment-based Practice with Adults’ by Clark Baim and Tony Morrison.</w:t>
      </w:r>
    </w:p>
    <w:p w14:paraId="2C43A527" w14:textId="7067DCA6" w:rsidR="00892B1C" w:rsidRDefault="00892B1C" w:rsidP="00892B1C">
      <w:pPr>
        <w:shd w:val="clear" w:color="auto" w:fill="FFFFFF" w:themeFill="background1"/>
        <w:rPr>
          <w:sz w:val="20"/>
          <w:szCs w:val="20"/>
        </w:rPr>
      </w:pPr>
    </w:p>
    <w:p w14:paraId="5B88BE92" w14:textId="253EFB99" w:rsidR="001778C5" w:rsidRDefault="001778C5" w:rsidP="00892B1C">
      <w:pPr>
        <w:shd w:val="clear" w:color="auto" w:fill="FFFFFF" w:themeFill="background1"/>
        <w:rPr>
          <w:color w:val="4472C4" w:themeColor="accent1"/>
          <w:sz w:val="20"/>
          <w:szCs w:val="20"/>
        </w:rPr>
      </w:pPr>
      <w:r>
        <w:rPr>
          <w:b/>
          <w:color w:val="4472C4" w:themeColor="accent1"/>
          <w:sz w:val="20"/>
          <w:szCs w:val="20"/>
        </w:rPr>
        <w:t xml:space="preserve">Day One: </w:t>
      </w:r>
      <w:r w:rsidRPr="001778C5">
        <w:rPr>
          <w:color w:val="4472C4" w:themeColor="accent1"/>
          <w:sz w:val="20"/>
          <w:szCs w:val="20"/>
        </w:rPr>
        <w:t>By the end of day one, you will understand…</w:t>
      </w:r>
    </w:p>
    <w:p w14:paraId="7C46D2D4" w14:textId="50020F22" w:rsidR="001778C5" w:rsidRPr="001778C5" w:rsidRDefault="001778C5" w:rsidP="001778C5">
      <w:pPr>
        <w:pStyle w:val="ListParagraph"/>
        <w:numPr>
          <w:ilvl w:val="0"/>
          <w:numId w:val="1"/>
        </w:numPr>
        <w:shd w:val="clear" w:color="auto" w:fill="FFFFFF" w:themeFill="background1"/>
        <w:rPr>
          <w:b/>
          <w:color w:val="4472C4" w:themeColor="accent1"/>
          <w:sz w:val="20"/>
          <w:szCs w:val="20"/>
        </w:rPr>
      </w:pPr>
      <w:r>
        <w:rPr>
          <w:sz w:val="20"/>
          <w:szCs w:val="20"/>
        </w:rPr>
        <w:t>The essential aspects of the Dynamic-Maturational Model (DMM) of Attachment and Adaptation across the lifespan.</w:t>
      </w:r>
    </w:p>
    <w:p w14:paraId="7A0B71ED" w14:textId="550C2AA1" w:rsidR="001778C5" w:rsidRPr="001778C5" w:rsidRDefault="001778C5" w:rsidP="001778C5">
      <w:pPr>
        <w:pStyle w:val="ListParagraph"/>
        <w:numPr>
          <w:ilvl w:val="0"/>
          <w:numId w:val="1"/>
        </w:numPr>
        <w:shd w:val="clear" w:color="auto" w:fill="FFFFFF" w:themeFill="background1"/>
        <w:rPr>
          <w:b/>
          <w:color w:val="4472C4" w:themeColor="accent1"/>
          <w:sz w:val="20"/>
          <w:szCs w:val="20"/>
        </w:rPr>
      </w:pPr>
      <w:r>
        <w:rPr>
          <w:sz w:val="20"/>
          <w:szCs w:val="20"/>
        </w:rPr>
        <w:t>The family and systems perspectives on how attachment strategies are formed.</w:t>
      </w:r>
    </w:p>
    <w:p w14:paraId="4ECC4984" w14:textId="7B0883A2" w:rsidR="001778C5" w:rsidRPr="001778C5" w:rsidRDefault="001778C5" w:rsidP="001778C5">
      <w:pPr>
        <w:pStyle w:val="ListParagraph"/>
        <w:numPr>
          <w:ilvl w:val="0"/>
          <w:numId w:val="1"/>
        </w:numPr>
        <w:shd w:val="clear" w:color="auto" w:fill="FFFFFF" w:themeFill="background1"/>
        <w:rPr>
          <w:b/>
          <w:color w:val="4472C4" w:themeColor="accent1"/>
          <w:sz w:val="20"/>
          <w:szCs w:val="20"/>
        </w:rPr>
      </w:pPr>
      <w:r>
        <w:rPr>
          <w:sz w:val="20"/>
          <w:szCs w:val="20"/>
        </w:rPr>
        <w:t>The developmental factors that contribute to the development of secure and insecure attachment strategies.</w:t>
      </w:r>
    </w:p>
    <w:p w14:paraId="10AEDA63" w14:textId="70D09313" w:rsidR="001778C5" w:rsidRPr="001778C5" w:rsidRDefault="001778C5" w:rsidP="001778C5">
      <w:pPr>
        <w:pStyle w:val="ListParagraph"/>
        <w:numPr>
          <w:ilvl w:val="0"/>
          <w:numId w:val="1"/>
        </w:numPr>
        <w:shd w:val="clear" w:color="auto" w:fill="FFFFFF" w:themeFill="background1"/>
        <w:rPr>
          <w:b/>
          <w:color w:val="4472C4" w:themeColor="accent1"/>
          <w:sz w:val="20"/>
          <w:szCs w:val="20"/>
        </w:rPr>
      </w:pPr>
      <w:r>
        <w:rPr>
          <w:sz w:val="20"/>
          <w:szCs w:val="20"/>
        </w:rPr>
        <w:t>Attachment theory as a strengths-based, non-labelling and non-</w:t>
      </w:r>
      <w:proofErr w:type="spellStart"/>
      <w:r>
        <w:rPr>
          <w:sz w:val="20"/>
          <w:szCs w:val="20"/>
        </w:rPr>
        <w:t>pathologising</w:t>
      </w:r>
      <w:proofErr w:type="spellEnd"/>
      <w:r>
        <w:rPr>
          <w:sz w:val="20"/>
          <w:szCs w:val="20"/>
        </w:rPr>
        <w:t xml:space="preserve"> approach.</w:t>
      </w:r>
    </w:p>
    <w:p w14:paraId="0CA72582" w14:textId="0A70946C" w:rsidR="001778C5" w:rsidRDefault="001778C5" w:rsidP="001778C5">
      <w:pPr>
        <w:shd w:val="clear" w:color="auto" w:fill="FFFFFF" w:themeFill="background1"/>
        <w:rPr>
          <w:b/>
          <w:color w:val="4472C4" w:themeColor="accent1"/>
          <w:sz w:val="20"/>
          <w:szCs w:val="20"/>
        </w:rPr>
      </w:pPr>
    </w:p>
    <w:p w14:paraId="1BFAA703" w14:textId="77777777" w:rsidR="00FB372F" w:rsidRDefault="00FB372F" w:rsidP="001778C5">
      <w:pPr>
        <w:shd w:val="clear" w:color="auto" w:fill="FFFFFF" w:themeFill="background1"/>
        <w:rPr>
          <w:b/>
          <w:color w:val="4472C4" w:themeColor="accent1"/>
          <w:sz w:val="20"/>
          <w:szCs w:val="20"/>
        </w:rPr>
      </w:pPr>
    </w:p>
    <w:p w14:paraId="4A33F912" w14:textId="182E3A71" w:rsidR="001778C5" w:rsidRDefault="001778C5" w:rsidP="001778C5">
      <w:pPr>
        <w:shd w:val="clear" w:color="auto" w:fill="FFFFFF" w:themeFill="background1"/>
        <w:rPr>
          <w:color w:val="4472C4" w:themeColor="accent1"/>
          <w:sz w:val="20"/>
          <w:szCs w:val="20"/>
        </w:rPr>
      </w:pPr>
      <w:r>
        <w:rPr>
          <w:b/>
          <w:color w:val="4472C4" w:themeColor="accent1"/>
          <w:sz w:val="20"/>
          <w:szCs w:val="20"/>
        </w:rPr>
        <w:t xml:space="preserve">Day Two: </w:t>
      </w:r>
      <w:r>
        <w:rPr>
          <w:color w:val="4472C4" w:themeColor="accent1"/>
          <w:sz w:val="20"/>
          <w:szCs w:val="20"/>
        </w:rPr>
        <w:t>By the end of day two, you will understand…</w:t>
      </w:r>
    </w:p>
    <w:p w14:paraId="4084C53C" w14:textId="7AF04D7B" w:rsidR="001778C5" w:rsidRPr="001778C5" w:rsidRDefault="001778C5" w:rsidP="001778C5">
      <w:pPr>
        <w:pStyle w:val="ListParagraph"/>
        <w:numPr>
          <w:ilvl w:val="0"/>
          <w:numId w:val="2"/>
        </w:numPr>
        <w:shd w:val="clear" w:color="auto" w:fill="FFFFFF" w:themeFill="background1"/>
        <w:rPr>
          <w:color w:val="4472C4" w:themeColor="accent1"/>
          <w:sz w:val="20"/>
          <w:szCs w:val="20"/>
        </w:rPr>
      </w:pPr>
      <w:r>
        <w:rPr>
          <w:sz w:val="20"/>
          <w:szCs w:val="20"/>
        </w:rPr>
        <w:t>The five key memory systems relevant to understanding how attachment strategies develop and function</w:t>
      </w:r>
    </w:p>
    <w:p w14:paraId="6FD95B5F" w14:textId="4AC86DF7" w:rsidR="001778C5" w:rsidRPr="001778C5" w:rsidRDefault="001778C5" w:rsidP="001778C5">
      <w:pPr>
        <w:pStyle w:val="ListParagraph"/>
        <w:numPr>
          <w:ilvl w:val="0"/>
          <w:numId w:val="2"/>
        </w:numPr>
        <w:shd w:val="clear" w:color="auto" w:fill="FFFFFF" w:themeFill="background1"/>
        <w:rPr>
          <w:color w:val="4472C4" w:themeColor="accent1"/>
          <w:sz w:val="20"/>
          <w:szCs w:val="20"/>
        </w:rPr>
      </w:pPr>
      <w:r>
        <w:rPr>
          <w:sz w:val="20"/>
          <w:szCs w:val="20"/>
        </w:rPr>
        <w:t>How to identify attachment strategies in speech and behaviour</w:t>
      </w:r>
    </w:p>
    <w:p w14:paraId="062F7D18" w14:textId="694229DD" w:rsidR="001778C5" w:rsidRPr="001778C5" w:rsidRDefault="001778C5" w:rsidP="001778C5">
      <w:pPr>
        <w:pStyle w:val="ListParagraph"/>
        <w:numPr>
          <w:ilvl w:val="0"/>
          <w:numId w:val="2"/>
        </w:numPr>
        <w:shd w:val="clear" w:color="auto" w:fill="FFFFFF" w:themeFill="background1"/>
        <w:rPr>
          <w:color w:val="4472C4" w:themeColor="accent1"/>
          <w:sz w:val="20"/>
          <w:szCs w:val="20"/>
        </w:rPr>
      </w:pPr>
      <w:r>
        <w:rPr>
          <w:sz w:val="20"/>
          <w:szCs w:val="20"/>
        </w:rPr>
        <w:t>How to apply theory in practice through discourse analysis of several case study interviews</w:t>
      </w:r>
    </w:p>
    <w:p w14:paraId="2A4CF21B" w14:textId="45097363" w:rsidR="001778C5" w:rsidRPr="001778C5" w:rsidRDefault="001778C5" w:rsidP="001778C5">
      <w:pPr>
        <w:pStyle w:val="ListParagraph"/>
        <w:numPr>
          <w:ilvl w:val="0"/>
          <w:numId w:val="2"/>
        </w:numPr>
        <w:shd w:val="clear" w:color="auto" w:fill="FFFFFF" w:themeFill="background1"/>
        <w:rPr>
          <w:color w:val="4472C4" w:themeColor="accent1"/>
          <w:sz w:val="20"/>
          <w:szCs w:val="20"/>
        </w:rPr>
      </w:pPr>
      <w:r>
        <w:rPr>
          <w:sz w:val="20"/>
          <w:szCs w:val="20"/>
        </w:rPr>
        <w:t>How the DMM connects with the emerging fields of interpersonal neurobiology and narrative medicine.</w:t>
      </w:r>
    </w:p>
    <w:p w14:paraId="6996D018" w14:textId="79E5E545" w:rsidR="001778C5" w:rsidRDefault="001778C5" w:rsidP="00396C31">
      <w:pPr>
        <w:shd w:val="clear" w:color="auto" w:fill="FFFFFF" w:themeFill="background1"/>
        <w:rPr>
          <w:color w:val="4472C4" w:themeColor="accent1"/>
          <w:sz w:val="20"/>
          <w:szCs w:val="20"/>
        </w:rPr>
      </w:pPr>
    </w:p>
    <w:p w14:paraId="03997757" w14:textId="77777777" w:rsidR="00FB372F" w:rsidRDefault="00FB372F" w:rsidP="00396C31">
      <w:pPr>
        <w:shd w:val="clear" w:color="auto" w:fill="FFFFFF" w:themeFill="background1"/>
        <w:rPr>
          <w:color w:val="4472C4" w:themeColor="accent1"/>
          <w:sz w:val="20"/>
          <w:szCs w:val="20"/>
        </w:rPr>
      </w:pPr>
    </w:p>
    <w:p w14:paraId="7552E10F" w14:textId="0BDC4E9B" w:rsidR="00396C31" w:rsidRDefault="00396C31" w:rsidP="00396C31">
      <w:pPr>
        <w:shd w:val="clear" w:color="auto" w:fill="FFFFFF" w:themeFill="background1"/>
        <w:rPr>
          <w:color w:val="4472C4" w:themeColor="accent1"/>
          <w:sz w:val="20"/>
          <w:szCs w:val="20"/>
        </w:rPr>
      </w:pPr>
      <w:r w:rsidRPr="00396C31">
        <w:rPr>
          <w:b/>
          <w:color w:val="4472C4" w:themeColor="accent1"/>
          <w:sz w:val="20"/>
          <w:szCs w:val="20"/>
        </w:rPr>
        <w:t>Day Three:</w:t>
      </w:r>
      <w:r>
        <w:rPr>
          <w:color w:val="4472C4" w:themeColor="accent1"/>
          <w:sz w:val="20"/>
          <w:szCs w:val="20"/>
        </w:rPr>
        <w:t xml:space="preserve"> By the end of day three, you will understand…</w:t>
      </w:r>
    </w:p>
    <w:p w14:paraId="1DC04F7A" w14:textId="6FCDA626" w:rsidR="00396C31" w:rsidRPr="00396C31" w:rsidRDefault="00396C31" w:rsidP="00396C31">
      <w:pPr>
        <w:pStyle w:val="ListParagraph"/>
        <w:numPr>
          <w:ilvl w:val="0"/>
          <w:numId w:val="3"/>
        </w:numPr>
        <w:shd w:val="clear" w:color="auto" w:fill="FFFFFF" w:themeFill="background1"/>
        <w:rPr>
          <w:color w:val="4472C4" w:themeColor="accent1"/>
          <w:sz w:val="20"/>
          <w:szCs w:val="20"/>
        </w:rPr>
      </w:pPr>
      <w:r>
        <w:rPr>
          <w:sz w:val="20"/>
          <w:szCs w:val="20"/>
        </w:rPr>
        <w:t>The LEARN Model for promoting narrative integration and improving psychological functioning.</w:t>
      </w:r>
    </w:p>
    <w:p w14:paraId="3F6BE5EF" w14:textId="27EB47AC" w:rsidR="00396C31" w:rsidRPr="00396C31" w:rsidRDefault="00396C31" w:rsidP="00396C31">
      <w:pPr>
        <w:pStyle w:val="ListParagraph"/>
        <w:numPr>
          <w:ilvl w:val="0"/>
          <w:numId w:val="3"/>
        </w:numPr>
        <w:shd w:val="clear" w:color="auto" w:fill="FFFFFF" w:themeFill="background1"/>
        <w:rPr>
          <w:color w:val="4472C4" w:themeColor="accent1"/>
          <w:sz w:val="20"/>
          <w:szCs w:val="20"/>
        </w:rPr>
      </w:pPr>
      <w:r>
        <w:rPr>
          <w:sz w:val="20"/>
          <w:szCs w:val="20"/>
        </w:rPr>
        <w:t>The impact of unresolved loss and trauma and the implications for assessment and intervention.</w:t>
      </w:r>
    </w:p>
    <w:p w14:paraId="08294F27" w14:textId="56F4D998" w:rsidR="00396C31" w:rsidRPr="00396C31" w:rsidRDefault="00396C31" w:rsidP="00396C31">
      <w:pPr>
        <w:pStyle w:val="ListParagraph"/>
        <w:numPr>
          <w:ilvl w:val="0"/>
          <w:numId w:val="3"/>
        </w:numPr>
        <w:shd w:val="clear" w:color="auto" w:fill="FFFFFF" w:themeFill="background1"/>
        <w:rPr>
          <w:color w:val="4472C4" w:themeColor="accent1"/>
          <w:sz w:val="20"/>
          <w:szCs w:val="20"/>
        </w:rPr>
      </w:pPr>
      <w:r>
        <w:rPr>
          <w:sz w:val="20"/>
          <w:szCs w:val="20"/>
        </w:rPr>
        <w:t>What it means to be psychologically integrated, and what it means to re-organise one’s mind in relation to perceived dangers.</w:t>
      </w:r>
    </w:p>
    <w:p w14:paraId="0A4C8F9D" w14:textId="53847316" w:rsidR="00396C31" w:rsidRPr="00396C31" w:rsidRDefault="00396C31" w:rsidP="00396C31">
      <w:pPr>
        <w:pStyle w:val="ListParagraph"/>
        <w:numPr>
          <w:ilvl w:val="0"/>
          <w:numId w:val="3"/>
        </w:numPr>
        <w:shd w:val="clear" w:color="auto" w:fill="FFFFFF" w:themeFill="background1"/>
        <w:rPr>
          <w:color w:val="4472C4" w:themeColor="accent1"/>
          <w:sz w:val="20"/>
          <w:szCs w:val="20"/>
        </w:rPr>
      </w:pPr>
      <w:r>
        <w:rPr>
          <w:sz w:val="20"/>
          <w:szCs w:val="20"/>
        </w:rPr>
        <w:t>How to begin to apply the learning to your own cases.</w:t>
      </w:r>
    </w:p>
    <w:p w14:paraId="1B3FF17B" w14:textId="3183EE0B" w:rsidR="00396C31" w:rsidRDefault="00396C31" w:rsidP="00396C31">
      <w:pPr>
        <w:shd w:val="clear" w:color="auto" w:fill="FFFFFF" w:themeFill="background1"/>
        <w:rPr>
          <w:color w:val="4472C4" w:themeColor="accent1"/>
          <w:sz w:val="20"/>
          <w:szCs w:val="20"/>
        </w:rPr>
      </w:pPr>
    </w:p>
    <w:p w14:paraId="2D4FE0A2" w14:textId="77777777" w:rsidR="00FB372F" w:rsidRDefault="00FB372F" w:rsidP="00396C31">
      <w:pPr>
        <w:shd w:val="clear" w:color="auto" w:fill="FFFFFF" w:themeFill="background1"/>
        <w:rPr>
          <w:color w:val="4472C4" w:themeColor="accent1"/>
          <w:sz w:val="20"/>
          <w:szCs w:val="20"/>
        </w:rPr>
      </w:pPr>
    </w:p>
    <w:p w14:paraId="0F7D5EB0" w14:textId="1443A62C" w:rsidR="00396C31" w:rsidRDefault="00396C31" w:rsidP="00396C31">
      <w:pPr>
        <w:shd w:val="clear" w:color="auto" w:fill="FFFFFF" w:themeFill="background1"/>
        <w:rPr>
          <w:b/>
          <w:color w:val="4472C4" w:themeColor="accent1"/>
          <w:sz w:val="20"/>
          <w:szCs w:val="20"/>
        </w:rPr>
      </w:pPr>
      <w:r>
        <w:rPr>
          <w:b/>
          <w:color w:val="4472C4" w:themeColor="accent1"/>
          <w:sz w:val="20"/>
          <w:szCs w:val="20"/>
        </w:rPr>
        <w:t>Follow-up day: 3-6 June 2019 (each participant will attend one of these days, in small groups)</w:t>
      </w:r>
    </w:p>
    <w:p w14:paraId="024AABBF" w14:textId="09C0C77B" w:rsidR="00396C31" w:rsidRPr="00396C31" w:rsidRDefault="00396C31" w:rsidP="00396C31">
      <w:pPr>
        <w:pStyle w:val="ListParagraph"/>
        <w:numPr>
          <w:ilvl w:val="0"/>
          <w:numId w:val="4"/>
        </w:numPr>
        <w:shd w:val="clear" w:color="auto" w:fill="FFFFFF" w:themeFill="background1"/>
        <w:rPr>
          <w:b/>
          <w:color w:val="4472C4" w:themeColor="accent1"/>
          <w:sz w:val="20"/>
          <w:szCs w:val="20"/>
        </w:rPr>
      </w:pPr>
      <w:r>
        <w:rPr>
          <w:sz w:val="20"/>
          <w:szCs w:val="20"/>
        </w:rPr>
        <w:t>This day partly serves as a refresher, as we re-visit key themes and learning from the first three days.</w:t>
      </w:r>
    </w:p>
    <w:p w14:paraId="43B164D8" w14:textId="63F93543" w:rsidR="00396C31" w:rsidRPr="00396C31" w:rsidRDefault="00396C31" w:rsidP="00396C31">
      <w:pPr>
        <w:pStyle w:val="ListParagraph"/>
        <w:numPr>
          <w:ilvl w:val="0"/>
          <w:numId w:val="4"/>
        </w:numPr>
        <w:shd w:val="clear" w:color="auto" w:fill="FFFFFF" w:themeFill="background1"/>
        <w:rPr>
          <w:b/>
          <w:color w:val="4472C4" w:themeColor="accent1"/>
          <w:sz w:val="20"/>
          <w:szCs w:val="20"/>
        </w:rPr>
      </w:pPr>
      <w:r>
        <w:rPr>
          <w:sz w:val="20"/>
          <w:szCs w:val="20"/>
        </w:rPr>
        <w:t>Course participants also report back on an assignment completed during the interim.  Assignments are chosen from a list of options, and participants can also devise their own assignment to best fit with their working practice.</w:t>
      </w:r>
    </w:p>
    <w:p w14:paraId="6A7D3849" w14:textId="680AA9DA" w:rsidR="00396C31" w:rsidRPr="00396C31" w:rsidRDefault="00396C31" w:rsidP="00396C31">
      <w:pPr>
        <w:pStyle w:val="ListParagraph"/>
        <w:numPr>
          <w:ilvl w:val="0"/>
          <w:numId w:val="4"/>
        </w:numPr>
        <w:shd w:val="clear" w:color="auto" w:fill="FFFFFF" w:themeFill="background1"/>
        <w:rPr>
          <w:b/>
          <w:color w:val="4472C4" w:themeColor="accent1"/>
          <w:sz w:val="20"/>
          <w:szCs w:val="20"/>
        </w:rPr>
      </w:pPr>
      <w:r>
        <w:rPr>
          <w:sz w:val="20"/>
          <w:szCs w:val="20"/>
        </w:rPr>
        <w:t>Where participants bring written transcripts of sessions they have conducted, which is one of the assignment options, we read and discuss the transcripts, considering aspects of interviewing, discourse, and possible implications for understanding the client and formulating plans.</w:t>
      </w:r>
    </w:p>
    <w:p w14:paraId="7C230FA5" w14:textId="19172709" w:rsidR="00396C31" w:rsidRDefault="00396C31" w:rsidP="00396C31">
      <w:pPr>
        <w:pStyle w:val="ListParagraph"/>
        <w:shd w:val="clear" w:color="auto" w:fill="FFFFFF" w:themeFill="background1"/>
        <w:rPr>
          <w:b/>
          <w:color w:val="4472C4" w:themeColor="accent1"/>
          <w:sz w:val="20"/>
          <w:szCs w:val="20"/>
        </w:rPr>
      </w:pPr>
    </w:p>
    <w:p w14:paraId="28413726" w14:textId="68ED6D17" w:rsidR="00FB372F" w:rsidRDefault="00FB372F" w:rsidP="00396C31">
      <w:pPr>
        <w:pStyle w:val="ListParagraph"/>
        <w:shd w:val="clear" w:color="auto" w:fill="FFFFFF" w:themeFill="background1"/>
        <w:rPr>
          <w:b/>
          <w:color w:val="4472C4" w:themeColor="accent1"/>
          <w:sz w:val="20"/>
          <w:szCs w:val="20"/>
        </w:rPr>
      </w:pPr>
    </w:p>
    <w:p w14:paraId="777F05B6" w14:textId="5F0B08B5" w:rsidR="00FB372F" w:rsidRDefault="00FB372F" w:rsidP="00396C31">
      <w:pPr>
        <w:pStyle w:val="ListParagraph"/>
        <w:shd w:val="clear" w:color="auto" w:fill="FFFFFF" w:themeFill="background1"/>
        <w:rPr>
          <w:b/>
          <w:color w:val="4472C4" w:themeColor="accent1"/>
          <w:sz w:val="20"/>
          <w:szCs w:val="20"/>
        </w:rPr>
      </w:pPr>
    </w:p>
    <w:p w14:paraId="4559EFAE" w14:textId="264CBD94" w:rsidR="00FB372F" w:rsidRDefault="00FB372F" w:rsidP="00396C31">
      <w:pPr>
        <w:pStyle w:val="ListParagraph"/>
        <w:shd w:val="clear" w:color="auto" w:fill="FFFFFF" w:themeFill="background1"/>
        <w:rPr>
          <w:b/>
          <w:color w:val="4472C4" w:themeColor="accent1"/>
          <w:sz w:val="20"/>
          <w:szCs w:val="20"/>
        </w:rPr>
      </w:pPr>
    </w:p>
    <w:p w14:paraId="146196F7" w14:textId="77777777" w:rsidR="00396C31" w:rsidRDefault="00396C31" w:rsidP="00396C31">
      <w:pPr>
        <w:shd w:val="clear" w:color="auto" w:fill="ACB9CA" w:themeFill="text2" w:themeFillTint="66"/>
        <w:rPr>
          <w:color w:val="4472C4" w:themeColor="accent1"/>
        </w:rPr>
      </w:pPr>
      <w:bookmarkStart w:id="0" w:name="_GoBack"/>
      <w:bookmarkEnd w:id="0"/>
    </w:p>
    <w:p w14:paraId="7EE93880" w14:textId="3A91716D" w:rsidR="00396C31" w:rsidRPr="00892B1C" w:rsidRDefault="00396C31" w:rsidP="00396C31">
      <w:pPr>
        <w:shd w:val="clear" w:color="auto" w:fill="ACB9CA" w:themeFill="text2" w:themeFillTint="66"/>
        <w:rPr>
          <w:b/>
          <w:color w:val="4472C4" w:themeColor="accent1"/>
        </w:rPr>
      </w:pPr>
      <w:r w:rsidRPr="00892B1C">
        <w:rPr>
          <w:b/>
          <w:color w:val="4472C4" w:themeColor="accent1"/>
        </w:rPr>
        <w:t xml:space="preserve">Part </w:t>
      </w:r>
      <w:r>
        <w:rPr>
          <w:b/>
          <w:color w:val="4472C4" w:themeColor="accent1"/>
        </w:rPr>
        <w:t>Two</w:t>
      </w:r>
      <w:r w:rsidRPr="00892B1C">
        <w:rPr>
          <w:b/>
          <w:color w:val="4472C4" w:themeColor="accent1"/>
        </w:rPr>
        <w:t xml:space="preserve">: </w:t>
      </w:r>
      <w:r>
        <w:rPr>
          <w:b/>
          <w:color w:val="4472C4" w:themeColor="accent1"/>
        </w:rPr>
        <w:t>Consolidating and embedding the learning: integrating attachment-based practice in the long-term – 1 day (10</w:t>
      </w:r>
      <w:r w:rsidRPr="00396C31">
        <w:rPr>
          <w:b/>
          <w:color w:val="4472C4" w:themeColor="accent1"/>
          <w:vertAlign w:val="superscript"/>
        </w:rPr>
        <w:t>th</w:t>
      </w:r>
      <w:r>
        <w:rPr>
          <w:b/>
          <w:color w:val="4472C4" w:themeColor="accent1"/>
        </w:rPr>
        <w:t xml:space="preserve"> September 2019)</w:t>
      </w:r>
    </w:p>
    <w:p w14:paraId="54297E3C" w14:textId="77777777" w:rsidR="00396C31" w:rsidRDefault="00396C31" w:rsidP="00396C31">
      <w:pPr>
        <w:shd w:val="clear" w:color="auto" w:fill="ACB9CA" w:themeFill="text2" w:themeFillTint="66"/>
        <w:rPr>
          <w:color w:val="4472C4" w:themeColor="accent1"/>
        </w:rPr>
      </w:pPr>
    </w:p>
    <w:p w14:paraId="64D3B539" w14:textId="41326E5F" w:rsidR="00892B1C" w:rsidRDefault="00892B1C" w:rsidP="00892B1C">
      <w:pPr>
        <w:shd w:val="clear" w:color="auto" w:fill="FFFFFF" w:themeFill="background1"/>
        <w:rPr>
          <w:sz w:val="20"/>
          <w:szCs w:val="20"/>
        </w:rPr>
      </w:pPr>
    </w:p>
    <w:p w14:paraId="0437B440" w14:textId="7A04C5E2" w:rsidR="00396C31" w:rsidRDefault="00396C31" w:rsidP="00892B1C">
      <w:pPr>
        <w:shd w:val="clear" w:color="auto" w:fill="FFFFFF" w:themeFill="background1"/>
        <w:rPr>
          <w:sz w:val="20"/>
          <w:szCs w:val="20"/>
        </w:rPr>
      </w:pPr>
      <w:r>
        <w:rPr>
          <w:sz w:val="20"/>
          <w:szCs w:val="20"/>
        </w:rPr>
        <w:t xml:space="preserve">A key aim of the review day </w:t>
      </w:r>
      <w:r w:rsidR="006A5753">
        <w:rPr>
          <w:sz w:val="20"/>
          <w:szCs w:val="20"/>
        </w:rPr>
        <w:t>is offer course members an opportunity to reconnect and share their stories of how the attachment-based approach has impacted their work.</w:t>
      </w:r>
    </w:p>
    <w:p w14:paraId="242857EE" w14:textId="72CB6683" w:rsidR="006A5753" w:rsidRDefault="006A5753" w:rsidP="00892B1C">
      <w:pPr>
        <w:shd w:val="clear" w:color="auto" w:fill="FFFFFF" w:themeFill="background1"/>
        <w:rPr>
          <w:sz w:val="20"/>
          <w:szCs w:val="20"/>
        </w:rPr>
      </w:pPr>
      <w:r>
        <w:rPr>
          <w:sz w:val="20"/>
          <w:szCs w:val="20"/>
        </w:rPr>
        <w:t>The overall purpose is to consolidate and further embed the learning, to improve the course, and to consider any next steps that would help to further develop and embed the learning.</w:t>
      </w:r>
    </w:p>
    <w:p w14:paraId="0028962C" w14:textId="3015BCB9" w:rsidR="006A5753" w:rsidRDefault="006A5753" w:rsidP="00892B1C">
      <w:pPr>
        <w:shd w:val="clear" w:color="auto" w:fill="FFFFFF" w:themeFill="background1"/>
        <w:rPr>
          <w:sz w:val="20"/>
          <w:szCs w:val="20"/>
        </w:rPr>
      </w:pPr>
    </w:p>
    <w:p w14:paraId="4CF5DB87" w14:textId="4B6A9E73" w:rsidR="006A5753" w:rsidRDefault="006A5753" w:rsidP="00892B1C">
      <w:pPr>
        <w:shd w:val="clear" w:color="auto" w:fill="FFFFFF" w:themeFill="background1"/>
        <w:rPr>
          <w:color w:val="4472C4" w:themeColor="accent1"/>
          <w:sz w:val="20"/>
          <w:szCs w:val="20"/>
        </w:rPr>
      </w:pPr>
      <w:r>
        <w:rPr>
          <w:color w:val="4472C4" w:themeColor="accent1"/>
          <w:sz w:val="20"/>
          <w:szCs w:val="20"/>
        </w:rPr>
        <w:t>On this one-day workshop, we cover the following topics:</w:t>
      </w:r>
    </w:p>
    <w:p w14:paraId="3323C37F" w14:textId="7E0FB1A1" w:rsidR="006A5753" w:rsidRDefault="006A5753" w:rsidP="00892B1C">
      <w:pPr>
        <w:shd w:val="clear" w:color="auto" w:fill="FFFFFF" w:themeFill="background1"/>
        <w:rPr>
          <w:color w:val="4472C4" w:themeColor="accent1"/>
          <w:sz w:val="20"/>
          <w:szCs w:val="20"/>
        </w:rPr>
      </w:pPr>
    </w:p>
    <w:p w14:paraId="3B1E6D2B" w14:textId="12A09FAA" w:rsidR="006A5753" w:rsidRPr="008E5EAD" w:rsidRDefault="006A5753" w:rsidP="006A5753">
      <w:pPr>
        <w:pStyle w:val="ListParagraph"/>
        <w:numPr>
          <w:ilvl w:val="0"/>
          <w:numId w:val="5"/>
        </w:numPr>
        <w:shd w:val="clear" w:color="auto" w:fill="FFFFFF" w:themeFill="background1"/>
        <w:rPr>
          <w:sz w:val="20"/>
          <w:szCs w:val="20"/>
        </w:rPr>
      </w:pPr>
      <w:r w:rsidRPr="008E5EAD">
        <w:rPr>
          <w:sz w:val="20"/>
          <w:szCs w:val="20"/>
        </w:rPr>
        <w:t>Re-visiting and refreshing key theory from the course.  For example: The DMM Model, memory systems, discourse markers, the LEARN model, techniques for interviewing.</w:t>
      </w:r>
    </w:p>
    <w:p w14:paraId="371A0B0F" w14:textId="21792ADC" w:rsidR="006A5753" w:rsidRPr="008E5EAD" w:rsidRDefault="006A5753" w:rsidP="006A5753">
      <w:pPr>
        <w:pStyle w:val="ListParagraph"/>
        <w:numPr>
          <w:ilvl w:val="0"/>
          <w:numId w:val="5"/>
        </w:numPr>
        <w:shd w:val="clear" w:color="auto" w:fill="FFFFFF" w:themeFill="background1"/>
        <w:rPr>
          <w:sz w:val="20"/>
          <w:szCs w:val="20"/>
        </w:rPr>
      </w:pPr>
      <w:r w:rsidRPr="008E5EAD">
        <w:rPr>
          <w:sz w:val="20"/>
          <w:szCs w:val="20"/>
        </w:rPr>
        <w:t xml:space="preserve">The What: What has changed in my practice? What if anything </w:t>
      </w:r>
      <w:proofErr w:type="gramStart"/>
      <w:r w:rsidRPr="008E5EAD">
        <w:rPr>
          <w:sz w:val="20"/>
          <w:szCs w:val="20"/>
        </w:rPr>
        <w:t>am</w:t>
      </w:r>
      <w:proofErr w:type="gramEnd"/>
      <w:r w:rsidRPr="008E5EAD">
        <w:rPr>
          <w:sz w:val="20"/>
          <w:szCs w:val="20"/>
        </w:rPr>
        <w:t xml:space="preserve"> I doing differently?  We will discuss experiences and consider case examples.</w:t>
      </w:r>
    </w:p>
    <w:p w14:paraId="406E0D18" w14:textId="5DB9830F" w:rsidR="006A5753" w:rsidRPr="008E5EAD" w:rsidRDefault="006A5753" w:rsidP="006A5753">
      <w:pPr>
        <w:pStyle w:val="ListParagraph"/>
        <w:numPr>
          <w:ilvl w:val="0"/>
          <w:numId w:val="5"/>
        </w:numPr>
        <w:shd w:val="clear" w:color="auto" w:fill="FFFFFF" w:themeFill="background1"/>
        <w:rPr>
          <w:sz w:val="20"/>
          <w:szCs w:val="20"/>
        </w:rPr>
      </w:pPr>
      <w:r w:rsidRPr="008E5EAD">
        <w:rPr>
          <w:sz w:val="20"/>
          <w:szCs w:val="20"/>
        </w:rPr>
        <w:t>The How: How has the change occurred?  How is it going?  Are there any barriers I am encountering?  Any further input needed?</w:t>
      </w:r>
    </w:p>
    <w:p w14:paraId="30E5CFAF" w14:textId="75CF8BF2" w:rsidR="006A5753" w:rsidRPr="008E5EAD" w:rsidRDefault="006A5753" w:rsidP="006A5753">
      <w:pPr>
        <w:pStyle w:val="ListParagraph"/>
        <w:numPr>
          <w:ilvl w:val="0"/>
          <w:numId w:val="5"/>
        </w:numPr>
        <w:shd w:val="clear" w:color="auto" w:fill="FFFFFF" w:themeFill="background1"/>
        <w:rPr>
          <w:sz w:val="20"/>
          <w:szCs w:val="20"/>
        </w:rPr>
      </w:pPr>
      <w:r w:rsidRPr="008E5EAD">
        <w:rPr>
          <w:sz w:val="20"/>
          <w:szCs w:val="20"/>
        </w:rPr>
        <w:t>The Why? Why is this significant or important?  Why is attachment-based practice relevant, based on my own experience.</w:t>
      </w:r>
    </w:p>
    <w:p w14:paraId="3638C49E" w14:textId="5AB4CB42" w:rsidR="006A5753" w:rsidRPr="008E5EAD" w:rsidRDefault="006A5753" w:rsidP="006A5753">
      <w:pPr>
        <w:pStyle w:val="ListParagraph"/>
        <w:numPr>
          <w:ilvl w:val="0"/>
          <w:numId w:val="5"/>
        </w:numPr>
        <w:shd w:val="clear" w:color="auto" w:fill="FFFFFF" w:themeFill="background1"/>
        <w:rPr>
          <w:sz w:val="20"/>
          <w:szCs w:val="20"/>
        </w:rPr>
      </w:pPr>
      <w:r w:rsidRPr="008E5EAD">
        <w:rPr>
          <w:sz w:val="20"/>
          <w:szCs w:val="20"/>
        </w:rPr>
        <w:t xml:space="preserve">What Impact? What difference has the training made to individual practice </w:t>
      </w:r>
      <w:proofErr w:type="gramStart"/>
      <w:r w:rsidRPr="008E5EAD">
        <w:rPr>
          <w:sz w:val="20"/>
          <w:szCs w:val="20"/>
        </w:rPr>
        <w:t>and also</w:t>
      </w:r>
      <w:proofErr w:type="gramEnd"/>
      <w:r w:rsidRPr="008E5EAD">
        <w:rPr>
          <w:sz w:val="20"/>
          <w:szCs w:val="20"/>
        </w:rPr>
        <w:t xml:space="preserve"> to the experience of clients and their families?  We will consider case examples and various forms of qualitative and quantitative evaluation to assess the impact of the training.</w:t>
      </w:r>
    </w:p>
    <w:p w14:paraId="64E69384" w14:textId="3BF70A14" w:rsidR="008E5EAD" w:rsidRDefault="008E5EAD" w:rsidP="006A5753">
      <w:pPr>
        <w:pStyle w:val="ListParagraph"/>
        <w:numPr>
          <w:ilvl w:val="0"/>
          <w:numId w:val="5"/>
        </w:numPr>
        <w:shd w:val="clear" w:color="auto" w:fill="FFFFFF" w:themeFill="background1"/>
        <w:rPr>
          <w:sz w:val="20"/>
          <w:szCs w:val="20"/>
        </w:rPr>
      </w:pPr>
      <w:r w:rsidRPr="008E5EAD">
        <w:rPr>
          <w:sz w:val="20"/>
          <w:szCs w:val="20"/>
        </w:rPr>
        <w:t>What’s next? Next steps in integrating the attachment-based approach.</w:t>
      </w:r>
    </w:p>
    <w:p w14:paraId="0F4A72F1" w14:textId="3F502D0C" w:rsidR="008E5EAD" w:rsidRDefault="008E5EAD" w:rsidP="008E5EAD">
      <w:pPr>
        <w:shd w:val="clear" w:color="auto" w:fill="FFFFFF" w:themeFill="background1"/>
        <w:rPr>
          <w:sz w:val="20"/>
          <w:szCs w:val="20"/>
        </w:rPr>
      </w:pPr>
    </w:p>
    <w:p w14:paraId="01DCFB02" w14:textId="6BA47399" w:rsidR="008E5EAD" w:rsidRDefault="008E5EAD" w:rsidP="008E5EAD">
      <w:pPr>
        <w:shd w:val="clear" w:color="auto" w:fill="FFFFFF" w:themeFill="background1"/>
        <w:rPr>
          <w:sz w:val="20"/>
          <w:szCs w:val="20"/>
        </w:rPr>
      </w:pPr>
      <w:r>
        <w:rPr>
          <w:sz w:val="20"/>
          <w:szCs w:val="20"/>
        </w:rPr>
        <w:t xml:space="preserve">Prior to this review day, we ask participants to prepare a brief summary in response to the above aims and topics of the day.   The brief summary can be in the form of a </w:t>
      </w:r>
      <w:proofErr w:type="gramStart"/>
      <w:r>
        <w:rPr>
          <w:sz w:val="20"/>
          <w:szCs w:val="20"/>
        </w:rPr>
        <w:t>short written</w:t>
      </w:r>
      <w:proofErr w:type="gramEnd"/>
      <w:r>
        <w:rPr>
          <w:sz w:val="20"/>
          <w:szCs w:val="20"/>
        </w:rPr>
        <w:t xml:space="preserve"> summary, bullet points, or any visual or other means of sharing with the group your experience of the learning and how you are using the attachment-based approach.  It will help if your summary focuses on one or more specific case examples or other specific instances from your practice.  We will ask you to be willing to present and/or discuss your summary on the day.</w:t>
      </w:r>
    </w:p>
    <w:p w14:paraId="1EF3A37A" w14:textId="03D35292" w:rsidR="008E5EAD" w:rsidRDefault="008E5EAD" w:rsidP="008E5EAD">
      <w:pPr>
        <w:shd w:val="clear" w:color="auto" w:fill="FFFFFF" w:themeFill="background1"/>
        <w:rPr>
          <w:sz w:val="20"/>
          <w:szCs w:val="20"/>
        </w:rPr>
      </w:pPr>
    </w:p>
    <w:p w14:paraId="5D1356F2" w14:textId="77777777" w:rsidR="008E5EAD" w:rsidRPr="008E5EAD" w:rsidRDefault="008E5EAD" w:rsidP="008E5EAD">
      <w:pPr>
        <w:shd w:val="clear" w:color="auto" w:fill="FFFFFF" w:themeFill="background1"/>
        <w:rPr>
          <w:sz w:val="20"/>
          <w:szCs w:val="20"/>
        </w:rPr>
      </w:pPr>
    </w:p>
    <w:p w14:paraId="1AFF9721" w14:textId="5509324D" w:rsidR="008E5EAD" w:rsidRPr="008E5EAD" w:rsidRDefault="008E5EAD" w:rsidP="008E5EAD">
      <w:pPr>
        <w:shd w:val="clear" w:color="auto" w:fill="FFFFFF" w:themeFill="background1"/>
        <w:rPr>
          <w:sz w:val="20"/>
          <w:szCs w:val="20"/>
        </w:rPr>
      </w:pPr>
    </w:p>
    <w:p w14:paraId="5CDBA15E" w14:textId="77777777" w:rsidR="008E5EAD" w:rsidRPr="008E5EAD" w:rsidRDefault="008E5EAD" w:rsidP="008E5EAD">
      <w:pPr>
        <w:shd w:val="clear" w:color="auto" w:fill="FFFFFF" w:themeFill="background1"/>
        <w:rPr>
          <w:sz w:val="20"/>
          <w:szCs w:val="20"/>
        </w:rPr>
      </w:pPr>
    </w:p>
    <w:p w14:paraId="3EFC550E" w14:textId="379483E3" w:rsidR="00892B1C" w:rsidRPr="006A5753" w:rsidRDefault="00892B1C" w:rsidP="00892B1C">
      <w:pPr>
        <w:shd w:val="clear" w:color="auto" w:fill="FFFFFF" w:themeFill="background1"/>
        <w:rPr>
          <w:b/>
          <w:sz w:val="20"/>
          <w:szCs w:val="20"/>
        </w:rPr>
      </w:pPr>
    </w:p>
    <w:p w14:paraId="7C549C13" w14:textId="3B796363" w:rsidR="00892B1C" w:rsidRPr="006A5753" w:rsidRDefault="00892B1C" w:rsidP="00892B1C">
      <w:pPr>
        <w:shd w:val="clear" w:color="auto" w:fill="FFFFFF" w:themeFill="background1"/>
        <w:rPr>
          <w:sz w:val="20"/>
          <w:szCs w:val="20"/>
        </w:rPr>
      </w:pPr>
    </w:p>
    <w:p w14:paraId="152557B6" w14:textId="77777777" w:rsidR="00892B1C" w:rsidRPr="006A5753" w:rsidRDefault="00892B1C">
      <w:pPr>
        <w:shd w:val="clear" w:color="auto" w:fill="FFFFFF" w:themeFill="background1"/>
        <w:rPr>
          <w:sz w:val="20"/>
          <w:szCs w:val="20"/>
        </w:rPr>
      </w:pPr>
    </w:p>
    <w:sectPr w:rsidR="00892B1C" w:rsidRPr="006A5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DD9"/>
    <w:multiLevelType w:val="hybridMultilevel"/>
    <w:tmpl w:val="A508A2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168BE"/>
    <w:multiLevelType w:val="hybridMultilevel"/>
    <w:tmpl w:val="9CDE5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31A87"/>
    <w:multiLevelType w:val="hybridMultilevel"/>
    <w:tmpl w:val="382AFD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A27F0"/>
    <w:multiLevelType w:val="hybridMultilevel"/>
    <w:tmpl w:val="BC163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B456B4"/>
    <w:multiLevelType w:val="hybridMultilevel"/>
    <w:tmpl w:val="783E3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1C"/>
    <w:rsid w:val="001778C5"/>
    <w:rsid w:val="00396C31"/>
    <w:rsid w:val="006A5753"/>
    <w:rsid w:val="00892B1C"/>
    <w:rsid w:val="008E5EAD"/>
    <w:rsid w:val="00CD1E73"/>
    <w:rsid w:val="00FB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AB10"/>
  <w15:chartTrackingRefBased/>
  <w15:docId w15:val="{CDA0D88E-48A8-49C6-B6F9-5911BFA4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Beattie</dc:creator>
  <cp:keywords/>
  <dc:description/>
  <cp:lastModifiedBy>Amanda Beattie</cp:lastModifiedBy>
  <cp:revision>2</cp:revision>
  <dcterms:created xsi:type="dcterms:W3CDTF">2018-12-17T16:03:00Z</dcterms:created>
  <dcterms:modified xsi:type="dcterms:W3CDTF">2019-01-02T15:24:00Z</dcterms:modified>
</cp:coreProperties>
</file>